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210"/>
      </w:pPr>
      <w:r>
        <w:rPr>
          <w:rFonts w:ascii="Georgia" w:cs="Georgia" w:eastAsia="Georgia" w:hAnsi="Georgia"/>
          <w:color w:val="1D2021"/>
          <w:sz w:val="44"/>
          <w:szCs w:val="44"/>
        </w:rPr>
        <w:t xml:space="preserve">Employee IP and Inventions Assignment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spacing w:after="30" w:line="340"/>
            </w:pPr>
            <w:r>
              <w:rPr>
                <w:rFonts w:ascii="Arial" w:cs="Arial" w:eastAsia="Arial" w:hAnsi="Arial"/>
                <w:b/>
                <w:bCs/>
                <w:color w:val="117086"/>
                <w:sz w:val="22"/>
                <w:szCs w:val="22"/>
              </w:rPr>
              <w:t xml:space="preserve">Cover Terms</w:t>
            </w:r>
          </w:p>
          <w:p>
            <w:pPr>
              <w:spacing w:after="20" w:line="340"/>
            </w:pPr>
            <w:r>
              <w:rPr>
                <w:rFonts w:ascii="Arial" w:cs="Arial" w:eastAsia="Arial" w:hAnsi="Arial"/>
                <w:color w:val="117086"/>
                <w:sz w:val="16"/>
                <w:szCs w:val="16"/>
              </w:rPr>
              <w:t xml:space="preserve">The key business terms of this assignment agreement are as follows.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Company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[Company]</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 Full Name]</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Prior Inventions Disclosure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None listed</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Excluded Inventions Statement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Inventions developed entirely on personal time without use of company equipment, supplies, facilities, confidential information, or trade secrets are excluded to the extent permitted by applicable law.</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Confidential Information Definition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non-public information about Employer's business, technology, customers, personnel, or finances, excluding information that becomes public without Employee's breach or is lawfully received without a confidentiality duty</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Return of Materials Timing</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promptly upon request and, in any event, no later than 5 business days after termination of employment</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Post-Termination Assistance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reasonable assistance with filings and signatures related to assigned inventions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California</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Venue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state and federal courts in the governing law state</w:t>
            </w:r>
          </w:p>
        </w:tc>
      </w:tr>
    </w:tbl>
    <w:p>
      <w:pPr>
        <w:sectPr>
          <w:headerReference w:type="default" r:id="rId6"/>
          <w:footerReference w:type="default" r:id="rId7"/>
          <w:pgSz w:w="11906" w:h="16838" w:orient="portrait"/>
          <w:pgMar w:top="936" w:right="1080" w:bottom="720" w:left="1080" w:header="360" w:footer="432" w:gutter="0"/>
          <w:pgNumType/>
          <w:docGrid w:linePitch="360"/>
        </w:sectPr>
      </w:pPr>
    </w:p>
    <w:p>
      <w:pPr>
        <w:spacing w:before="0" w:after="24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 Assignment of Inventions.</w:t>
      </w:r>
    </w:p>
    <w:p>
      <w:pPr>
        <w:pStyle w:val="OAClauseBody"/>
        <w:spacing w:before="0" w:after="280" w:line="340" w:beforeAutospacing="false" w:afterAutospacing="false"/>
        <w:contextualSpacing w:val="false"/>
      </w:pP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assigns and agrees to assign to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all right, title, and interest in inventions, software, works of authorship, discoveries, designs, data models, and related intellectual property created during employment that arise from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work, use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resources, or relate to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actual or anticipated business, to the extent permitted by law.</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2. Work Made for Hire and Further Assurances.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To the extent legally permitted, copyrightable works prepared within the scope of employment are works made for hire for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If any rights do not automatically vest in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w:t>
      </w: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assigns those rights and will sign additional documents reasonably requested to confirm ownership and record assignments.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3. Disclosure and Documentation.</w:t>
      </w:r>
    </w:p>
    <w:p>
      <w:pPr>
        <w:pStyle w:val="OAClauseBody"/>
        <w:spacing w:before="0" w:after="280" w:line="340" w:beforeAutospacing="false" w:afterAutospacing="false"/>
        <w:contextualSpacing w:val="false"/>
      </w:pP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will promptly disclose covered inventions and maintain reasonably complete records needed to document conception, authorship, development, and transfer of rights for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business, consistent with lawful policy and confidentiality obligations.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4. Prior and Excluded Inventions.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Inventions identified in </w:t>
      </w:r>
      <w:r>
        <w:rPr>
          <w:rFonts w:ascii="Arial" w:cs="Arial" w:eastAsia="Arial" w:hAnsi="Arial"/>
          <w:b/>
          <w:bCs/>
          <w:i w:val="false"/>
          <w:iCs w:val="false"/>
          <w:color w:val="117086"/>
          <w:sz w:val="22"/>
          <w:szCs w:val="22"/>
        </w:rPr>
        <w:t xml:space="preserve">Cover Terms</w:t>
      </w:r>
      <w:r>
        <w:rPr>
          <w:rFonts w:ascii="Arial" w:cs="Arial" w:eastAsia="Arial" w:hAnsi="Arial"/>
          <w:b w:val="false"/>
          <w:bCs w:val="false"/>
          <w:i w:val="false"/>
          <w:iCs w:val="false"/>
          <w:color w:val="1D2021"/>
          <w:sz w:val="22"/>
          <w:szCs w:val="22"/>
        </w:rPr>
        <w:t xml:space="preserve"> as prior or excluded remain carved out only to the extent permitted by applicable law. </w:t>
      </w: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represents that the prior inventions disclosure in </w:t>
      </w:r>
      <w:r>
        <w:rPr>
          <w:rFonts w:ascii="Arial" w:cs="Arial" w:eastAsia="Arial" w:hAnsi="Arial"/>
          <w:b/>
          <w:bCs/>
          <w:i w:val="false"/>
          <w:iCs w:val="false"/>
          <w:color w:val="117086"/>
          <w:sz w:val="22"/>
          <w:szCs w:val="22"/>
        </w:rPr>
        <w:t xml:space="preserve">Cover Terms</w:t>
      </w:r>
      <w:r>
        <w:rPr>
          <w:rFonts w:ascii="Arial" w:cs="Arial" w:eastAsia="Arial" w:hAnsi="Arial"/>
          <w:b w:val="false"/>
          <w:bCs w:val="false"/>
          <w:i w:val="false"/>
          <w:iCs w:val="false"/>
          <w:color w:val="1D2021"/>
          <w:sz w:val="22"/>
          <w:szCs w:val="22"/>
        </w:rPr>
        <w:t xml:space="preserve"> is complete to </w:t>
      </w: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knowledge as of the Effective Date.</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5. Confidential Information and Trade Secrets.</w:t>
      </w:r>
    </w:p>
    <w:p>
      <w:pPr>
        <w:pStyle w:val="OAClauseBody"/>
        <w:spacing w:before="0" w:after="280" w:line="340" w:beforeAutospacing="false" w:afterAutospacing="false"/>
        <w:contextualSpacing w:val="false"/>
      </w:pP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will use and protect confidential information solely for authorized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purposes, will not misuse or disclose confidential information except as permitted by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policy or law, and will follow the confidential information definition set out in </w:t>
      </w:r>
      <w:r>
        <w:rPr>
          <w:rFonts w:ascii="Arial" w:cs="Arial" w:eastAsia="Arial" w:hAnsi="Arial"/>
          <w:b/>
          <w:bCs/>
          <w:i w:val="false"/>
          <w:iCs w:val="false"/>
          <w:color w:val="117086"/>
          <w:sz w:val="22"/>
          <w:szCs w:val="22"/>
        </w:rPr>
        <w:t xml:space="preserve">Cover Terms</w:t>
      </w:r>
      <w:r>
        <w:rPr>
          <w:rFonts w:ascii="Arial" w:cs="Arial" w:eastAsia="Arial" w:hAnsi="Arial"/>
          <w:b w:val="false"/>
          <w:bCs w:val="false"/>
          <w:i w:val="false"/>
          <w:iCs w:val="false"/>
          <w:color w:val="1D2021"/>
          <w:sz w:val="22"/>
          <w:szCs w:val="22"/>
        </w:rPr>
        <w:t xml:space="preserve">.</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6. No Conflicting Obligations.</w:t>
      </w:r>
    </w:p>
    <w:p>
      <w:pPr>
        <w:pStyle w:val="OAClauseBody"/>
        <w:spacing w:before="0" w:after="280" w:line="340" w:beforeAutospacing="false" w:afterAutospacing="false"/>
        <w:contextualSpacing w:val="false"/>
      </w:pP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represents that performing duties for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does not knowingly conflict with binding obligations to another person or entity. </w:t>
      </w: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will not bring third-party confidential information into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systems or use it in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work without written authorization.</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7. Records, Cooperation, and Post-Termination Assistance.</w:t>
      </w:r>
    </w:p>
    <w:p>
      <w:pPr>
        <w:pStyle w:val="OAClauseBody"/>
        <w:spacing w:before="0" w:after="280" w:line="340" w:beforeAutospacing="false" w:afterAutospacing="false"/>
        <w:contextualSpacing w:val="false"/>
      </w:pP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will provide the post-termination assistance listed in </w:t>
      </w:r>
      <w:r>
        <w:rPr>
          <w:rFonts w:ascii="Arial" w:cs="Arial" w:eastAsia="Arial" w:hAnsi="Arial"/>
          <w:b/>
          <w:bCs/>
          <w:i w:val="false"/>
          <w:iCs w:val="false"/>
          <w:color w:val="117086"/>
          <w:sz w:val="22"/>
          <w:szCs w:val="22"/>
        </w:rPr>
        <w:t xml:space="preserve">Cover Terms</w:t>
      </w:r>
      <w:r>
        <w:rPr>
          <w:rFonts w:ascii="Arial" w:cs="Arial" w:eastAsia="Arial" w:hAnsi="Arial"/>
          <w:b w:val="false"/>
          <w:bCs w:val="false"/>
          <w:i w:val="false"/>
          <w:iCs w:val="false"/>
          <w:color w:val="1D2021"/>
          <w:sz w:val="22"/>
          <w:szCs w:val="22"/>
        </w:rPr>
        <w:t xml:space="preserve">, including reasonable cooperation with filings, declarations, and assignments needed to confirm or protect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rights in covered inventions, subject to reimbursement of reasonable out-of-pocket expenses when required by policy.</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8. Return and Deletion of Materials.</w:t>
      </w:r>
    </w:p>
    <w:p>
      <w:pPr>
        <w:pStyle w:val="OAClauseBody"/>
        <w:spacing w:before="0" w:after="280" w:line="340" w:beforeAutospacing="false" w:afterAutospacing="false"/>
        <w:contextualSpacing w:val="false"/>
      </w:pP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will return, and where permitted delete, </w:t>
      </w:r>
      <w:r>
        <w:rPr>
          <w:rFonts w:ascii="Arial" w:cs="Arial" w:eastAsia="Arial" w:hAnsi="Arial"/>
          <w:b/>
          <w:bCs/>
          <w:i w:val="false"/>
          <w:iCs w:val="false"/>
          <w:color w:val="117086"/>
          <w:sz w:val="22"/>
          <w:szCs w:val="22"/>
        </w:rPr>
        <w:t xml:space="preserve">Company</w:t>
      </w:r>
      <w:r>
        <w:rPr>
          <w:rFonts w:ascii="Arial" w:cs="Arial" w:eastAsia="Arial" w:hAnsi="Arial"/>
          <w:b w:val="false"/>
          <w:bCs w:val="false"/>
          <w:i w:val="false"/>
          <w:iCs w:val="false"/>
          <w:color w:val="1D2021"/>
          <w:sz w:val="22"/>
          <w:szCs w:val="22"/>
        </w:rPr>
        <w:t xml:space="preserve"> materials within the timing listed in </w:t>
      </w:r>
      <w:r>
        <w:rPr>
          <w:rFonts w:ascii="Arial" w:cs="Arial" w:eastAsia="Arial" w:hAnsi="Arial"/>
          <w:b/>
          <w:bCs/>
          <w:i w:val="false"/>
          <w:iCs w:val="false"/>
          <w:color w:val="117086"/>
          <w:sz w:val="22"/>
          <w:szCs w:val="22"/>
        </w:rPr>
        <w:t xml:space="preserve">Cover Terms</w:t>
      </w:r>
      <w:r>
        <w:rPr>
          <w:rFonts w:ascii="Arial" w:cs="Arial" w:eastAsia="Arial" w:hAnsi="Arial"/>
          <w:b w:val="false"/>
          <w:bCs w:val="false"/>
          <w:i w:val="false"/>
          <w:iCs w:val="false"/>
          <w:color w:val="1D2021"/>
          <w:sz w:val="22"/>
          <w:szCs w:val="22"/>
        </w:rPr>
        <w:t xml:space="preserve">, including devices, documents, credentials, and confidential files, except for records </w:t>
      </w: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 is required to retain by law.</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9. Survival and Limited Scope.</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Sections addressing assignment, confidentiality, return of materials, and assistance survive termination to the extent needed to enforce rights that arose during employment. This agreement does not transfer ownership of inventions that applicable law requires to remain with </w:t>
      </w:r>
      <w:r>
        <w:rPr>
          <w:rFonts w:ascii="Arial" w:cs="Arial" w:eastAsia="Arial" w:hAnsi="Arial"/>
          <w:b/>
          <w:bCs/>
          <w:i w:val="false"/>
          <w:iCs w:val="false"/>
          <w:color w:val="117086"/>
          <w:sz w:val="22"/>
          <w:szCs w:val="22"/>
        </w:rPr>
        <w:t xml:space="preserve">Employee</w:t>
      </w:r>
      <w:r>
        <w:rPr>
          <w:rFonts w:ascii="Arial" w:cs="Arial" w:eastAsia="Arial" w:hAnsi="Arial"/>
          <w:b w:val="false"/>
          <w:bCs w:val="false"/>
          <w:i w:val="false"/>
          <w:iCs w:val="false"/>
          <w:color w:val="1D2021"/>
          <w:sz w:val="22"/>
          <w:szCs w:val="22"/>
        </w:rPr>
        <w:t xml:space="preserve">.</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10. Governing Law and Venue.</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w:t>
      </w:r>
      <w:r>
        <w:rPr>
          <w:rFonts w:ascii="Arial" w:cs="Arial" w:eastAsia="Arial" w:hAnsi="Arial"/>
          <w:b/>
          <w:bCs/>
          <w:i w:val="false"/>
          <w:iCs w:val="false"/>
          <w:color w:val="117086"/>
          <w:sz w:val="22"/>
          <w:szCs w:val="22"/>
        </w:rPr>
        <w:t xml:space="preserve">Cover Terms</w:t>
      </w:r>
      <w:r>
        <w:rPr>
          <w:rFonts w:ascii="Arial" w:cs="Arial" w:eastAsia="Arial" w:hAnsi="Arial"/>
          <w:b w:val="false"/>
          <w:bCs w:val="false"/>
          <w:i w:val="false"/>
          <w:iCs w:val="false"/>
          <w:color w:val="1D2021"/>
          <w:sz w:val="22"/>
          <w:szCs w:val="22"/>
        </w:rPr>
        <w:t xml:space="preserve">, and disputes will be resolved in the venue listed in </w:t>
      </w:r>
      <w:r>
        <w:rPr>
          <w:rFonts w:ascii="Arial" w:cs="Arial" w:eastAsia="Arial" w:hAnsi="Arial"/>
          <w:b/>
          <w:bCs/>
          <w:i w:val="false"/>
          <w:iCs w:val="false"/>
          <w:color w:val="117086"/>
          <w:sz w:val="22"/>
          <w:szCs w:val="22"/>
        </w:rPr>
        <w:t xml:space="preserve">Cover Terms</w:t>
      </w:r>
      <w:r>
        <w:rPr>
          <w:rFonts w:ascii="Arial" w:cs="Arial" w:eastAsia="Arial" w:hAnsi="Arial"/>
          <w:b w:val="false"/>
          <w:bCs w:val="false"/>
          <w:i w:val="false"/>
          <w:iCs w:val="false"/>
          <w:color w:val="1D2021"/>
          <w:sz w:val="22"/>
          <w:szCs w:val="22"/>
        </w:rPr>
        <w:t xml:space="preserve">, subject to non-waivable rights under applicable law.</w:t>
      </w:r>
    </w:p>
    <w:p>
      <w:pPr>
        <w:sectPr>
          <w:headerReference w:type="default" r:id="rId8"/>
          <w:footerReference w:type="default" r:id="rId9"/>
          <w:pgSz w:w="11906" w:h="16838" w:orient="portrait"/>
          <w:pgMar w:top="936" w:right="1080" w:bottom="720" w:left="1080" w:header="360" w:footer="432" w:gutter="0"/>
          <w:pgNumType/>
          <w:docGrid w:linePitch="360"/>
        </w:sectPr>
      </w:pPr>
    </w:p>
    <w:p>
      <w:pPr>
        <w:spacing w:before="0" w:after="240" w:line="340" w:beforeAutospacing="false" w:afterAutospacing="false"/>
        <w:contextualSpacing w:val="false"/>
      </w:pPr>
      <w:r>
        <w:rPr>
          <w:rFonts w:ascii="Arial" w:cs="Arial" w:eastAsia="Arial" w:hAnsi="Arial"/>
          <w:b/>
          <w:bCs/>
          <w:color w:val="117086"/>
          <w:sz w:val="22"/>
          <w:szCs w:val="22"/>
        </w:rPr>
        <w:t xml:space="preserve">Signatures</w:t>
      </w:r>
    </w:p>
    <w:p>
      <w:pPr>
        <w:spacing w:before="0" w:after="280" w:line="340" w:beforeAutospacing="false" w:afterAutospacing="false"/>
        <w:contextualSpacing w:val="false"/>
      </w:pPr>
      <w:r>
        <w:rPr>
          <w:rFonts w:ascii="Arial" w:cs="Arial" w:eastAsia="Arial" w:hAnsi="Arial"/>
          <w:b w:val="false"/>
          <w:bCs w:val="false"/>
          <w:i w:val="false"/>
          <w:iCs w:val="false"/>
          <w:color w:val="1D2021"/>
          <w:sz w:val="16"/>
          <w:szCs w:val="16"/>
        </w:rPr>
        <w:t xml:space="preserve">By signing this agreement, each party acknowledges and agrees to the assignment and confidentiality obligations above.</w:t>
      </w:r>
    </w:p>
    <w:tbl>
      <w:tblPr>
        <w:tblW w:type="dxa" w:w="10075"/>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3600"/>
        <w:gridCol w:w="250"/>
        <w:gridCol w:w="3620"/>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COMPANY</w:t>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[Company]</w:t>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[Employee Full Name]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bl>
    <w:sectPr>
      <w:headerReference w:type="default" r:id="rId10"/>
      <w:footerReference w:type="default" r:id="rId11"/>
      <w:pgSz w:w="11906" w:h="16838" w:orient="portrait"/>
      <w:pgMar w:top="936" w:right="1080" w:bottom="720" w:left="1080" w:header="360" w:footer="432"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p>
    <w:pPr>
      <w:spacing w:before="0" w:after="0"/>
    </w:pPr>
    <w:r>
      <w:rPr>
        <w:rFonts w:ascii="Arial" w:cs="Arial" w:eastAsia="Arial" w:hAnsi="Arial"/>
        <w:color w:val="494A4B"/>
        <w:sz w:val="12"/>
        <w:szCs w:val="12"/>
      </w:rP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before="0" w:after="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before="0" w:after="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before="0" w:after="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before="0" w:after="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next w:val="Normal"/>
    <w:qFormat/>
    <w:pPr>
      <w:spacing w:before="0" w:after="0" w:line="340" w:lineRule="auto"/>
    </w:pPr>
    <w:rPr>
      <w:rFonts w:ascii="Arial" w:cs="Arial" w:eastAsia="Arial" w:hAnsi="Arial"/>
      <w:color w:val="1D2021"/>
      <w:sz w:val="22"/>
      <w:szCs w:val="22"/>
    </w:rPr>
  </w:style>
  <w:style w:type="paragraph" w:styleId="OAClauseHeading">
    <w:name w:val="OA Clause Heading"/>
    <w:basedOn w:val="Normal"/>
    <w:next w:val="OAClauseBody"/>
    <w:qFormat/>
    <w:pPr>
      <w:spacing w:before="320" w:after="1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before="0" w:after="280" w:line="340" w:lineRule="auto"/>
    </w:pPr>
    <w:rPr>
      <w:rFonts w:ascii="Arial" w:cs="Arial" w:eastAsia="Arial" w:hAnsi="Arial"/>
      <w:color w:val="1D202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2026-03-31T01:00:21.657Z</dcterms:created>
  <dcterms:modified xsi:type="dcterms:W3CDTF">2026-03-31T01:00:21.657Z</dcterms:modified>
</cp:coreProperties>
</file>

<file path=docProps/custom.xml><?xml version="1.0" encoding="utf-8"?>
<Properties xmlns="http://schemas.openxmlformats.org/officeDocument/2006/custom-properties" xmlns:vt="http://schemas.openxmlformats.org/officeDocument/2006/docPropsVTypes"/>
</file>